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58D1" w14:textId="244F7DBE" w:rsidR="00443628" w:rsidRPr="00443628" w:rsidRDefault="00443628" w:rsidP="00443628">
      <w:pPr>
        <w:rPr>
          <w:b/>
          <w:bCs/>
        </w:rPr>
      </w:pPr>
      <w:r w:rsidRPr="00443628">
        <w:rPr>
          <w:b/>
          <w:bCs/>
        </w:rPr>
        <w:t>Logiqc</w:t>
      </w:r>
      <w:r w:rsidR="00A5336C">
        <w:rPr>
          <w:b/>
          <w:bCs/>
        </w:rPr>
        <w:t xml:space="preserve"> Platform</w:t>
      </w:r>
      <w:r w:rsidRPr="00443628">
        <w:rPr>
          <w:b/>
          <w:bCs/>
        </w:rPr>
        <w:t xml:space="preserve"> Strategic </w:t>
      </w:r>
      <w:r w:rsidR="00312BDD">
        <w:rPr>
          <w:b/>
          <w:bCs/>
        </w:rPr>
        <w:t xml:space="preserve">Intent &amp; </w:t>
      </w:r>
      <w:r w:rsidRPr="00443628">
        <w:rPr>
          <w:b/>
          <w:bCs/>
        </w:rPr>
        <w:t>Scope</w:t>
      </w:r>
    </w:p>
    <w:p w14:paraId="0CE0FA55" w14:textId="77777777" w:rsidR="00443628" w:rsidRPr="00443628" w:rsidRDefault="00443628" w:rsidP="00443628">
      <w:pPr>
        <w:rPr>
          <w:b/>
          <w:bCs/>
        </w:rPr>
      </w:pPr>
      <w:r w:rsidRPr="00443628">
        <w:rPr>
          <w:b/>
          <w:bCs/>
        </w:rPr>
        <w:t>1. Purpose</w:t>
      </w:r>
    </w:p>
    <w:p w14:paraId="339A28A3" w14:textId="66877A90" w:rsidR="00A5336C" w:rsidRPr="00443628" w:rsidRDefault="00443628" w:rsidP="00A5336C">
      <w:pPr>
        <w:numPr>
          <w:ilvl w:val="0"/>
          <w:numId w:val="3"/>
        </w:numPr>
        <w:tabs>
          <w:tab w:val="num" w:pos="360"/>
        </w:tabs>
      </w:pPr>
      <w:r w:rsidRPr="00443628">
        <w:t xml:space="preserve">This document serves as the formal record of the </w:t>
      </w:r>
      <w:r w:rsidRPr="00443628">
        <w:rPr>
          <w:b/>
          <w:bCs/>
        </w:rPr>
        <w:t>Strategic Intent</w:t>
      </w:r>
      <w:r w:rsidRPr="00443628">
        <w:t xml:space="preserve"> and </w:t>
      </w:r>
      <w:r w:rsidRPr="00443628">
        <w:rPr>
          <w:b/>
          <w:bCs/>
        </w:rPr>
        <w:t>Operational Boundaries</w:t>
      </w:r>
      <w:r w:rsidRPr="00443628">
        <w:t xml:space="preserve"> for the implementation of the Logiqc</w:t>
      </w:r>
      <w:r w:rsidR="00A5336C">
        <w:t xml:space="preserve"> platform</w:t>
      </w:r>
      <w:r w:rsidRPr="00443628">
        <w:t xml:space="preserve"> at </w:t>
      </w:r>
      <w:r w:rsidRPr="00443628">
        <w:rPr>
          <w:b/>
          <w:bCs/>
        </w:rPr>
        <w:t>[Company Name]</w:t>
      </w:r>
      <w:r w:rsidRPr="00443628">
        <w:t xml:space="preserve">. It is designed to ensure alignment between the </w:t>
      </w:r>
      <w:r w:rsidRPr="00443628">
        <w:rPr>
          <w:color w:val="EE0000"/>
        </w:rPr>
        <w:t xml:space="preserve">Senior Management Team </w:t>
      </w:r>
      <w:r w:rsidRPr="00443628">
        <w:t>and the Project Implementation Team, providing a unified "North Star" for the platform's configuration.</w:t>
      </w:r>
    </w:p>
    <w:p w14:paraId="0536CE4D" w14:textId="77777777" w:rsidR="00443628" w:rsidRPr="00443628" w:rsidRDefault="00443628" w:rsidP="00443628">
      <w:pPr>
        <w:rPr>
          <w:b/>
          <w:bCs/>
        </w:rPr>
      </w:pPr>
      <w:r w:rsidRPr="00443628">
        <w:rPr>
          <w:b/>
          <w:bCs/>
        </w:rPr>
        <w:t>2. Strategic Intent &amp; Core Drivers</w:t>
      </w:r>
    </w:p>
    <w:p w14:paraId="229522BC" w14:textId="676B76B6" w:rsidR="00443628" w:rsidRPr="00443628" w:rsidRDefault="00443628" w:rsidP="00443628">
      <w:pPr>
        <w:numPr>
          <w:ilvl w:val="0"/>
          <w:numId w:val="3"/>
        </w:numPr>
        <w:tabs>
          <w:tab w:val="num" w:pos="360"/>
        </w:tabs>
      </w:pPr>
      <w:r w:rsidRPr="00443628">
        <w:t xml:space="preserve">The implementation of </w:t>
      </w:r>
      <w:r w:rsidR="00A5336C">
        <w:t xml:space="preserve">the </w:t>
      </w:r>
      <w:r w:rsidRPr="00443628">
        <w:t>Logiqc</w:t>
      </w:r>
      <w:r w:rsidR="00A5336C">
        <w:t xml:space="preserve"> platform</w:t>
      </w:r>
      <w:r w:rsidRPr="00443628">
        <w:t xml:space="preserve"> is a cornerstone of our digital transformation strategy. Our objective is to move away from fragmented, person-dependent processes toward a unified, system-driven governance model.</w:t>
      </w:r>
    </w:p>
    <w:p w14:paraId="4E625A11" w14:textId="77777777" w:rsidR="00443628" w:rsidRPr="00443628" w:rsidRDefault="00443628" w:rsidP="00443628">
      <w:pPr>
        <w:numPr>
          <w:ilvl w:val="0"/>
          <w:numId w:val="3"/>
        </w:numPr>
        <w:tabs>
          <w:tab w:val="num" w:pos="360"/>
        </w:tabs>
      </w:pPr>
      <w:r w:rsidRPr="00443628">
        <w:rPr>
          <w:b/>
          <w:bCs/>
        </w:rPr>
        <w:t xml:space="preserve">Instructions for </w:t>
      </w:r>
      <w:r w:rsidRPr="00443628">
        <w:rPr>
          <w:b/>
          <w:bCs/>
          <w:color w:val="EE0000"/>
        </w:rPr>
        <w:t>Senior Management</w:t>
      </w:r>
      <w:r w:rsidRPr="00443628">
        <w:rPr>
          <w:b/>
          <w:bCs/>
        </w:rPr>
        <w:t>:</w:t>
      </w:r>
    </w:p>
    <w:p w14:paraId="2E261ADD" w14:textId="1FDDE3DA" w:rsidR="00443628" w:rsidRPr="00443628" w:rsidRDefault="00443628" w:rsidP="00443628">
      <w:pPr>
        <w:numPr>
          <w:ilvl w:val="0"/>
          <w:numId w:val="3"/>
        </w:numPr>
        <w:tabs>
          <w:tab w:val="num" w:pos="360"/>
        </w:tabs>
      </w:pPr>
      <w:r w:rsidRPr="00443628">
        <w:rPr>
          <w:i/>
          <w:iCs/>
        </w:rPr>
        <w:t>Review the following list of strategic drivers. Select and refine the 3–5 priorities that most closely align with your current organi</w:t>
      </w:r>
      <w:r w:rsidR="00A5336C">
        <w:rPr>
          <w:i/>
          <w:iCs/>
        </w:rPr>
        <w:t>s</w:t>
      </w:r>
      <w:r w:rsidRPr="00443628">
        <w:rPr>
          <w:i/>
          <w:iCs/>
        </w:rPr>
        <w:t>ational goals. Delete those that do not apply.</w:t>
      </w:r>
    </w:p>
    <w:p w14:paraId="06E15E37" w14:textId="77777777" w:rsidR="00443628" w:rsidRPr="00443628" w:rsidRDefault="00443628" w:rsidP="00443628">
      <w:pPr>
        <w:numPr>
          <w:ilvl w:val="0"/>
          <w:numId w:val="8"/>
        </w:numPr>
      </w:pPr>
      <w:r w:rsidRPr="00443628">
        <w:rPr>
          <w:b/>
          <w:bCs/>
        </w:rPr>
        <w:t>From Fragmentation to a ‘Single Source of Truth’:</w:t>
      </w:r>
      <w:r w:rsidRPr="00443628">
        <w:t xml:space="preserve"> Consolidating data from disparate spreadsheets and siloes into one central location to ensure data integrity and transparency.</w:t>
      </w:r>
    </w:p>
    <w:p w14:paraId="0EE813DD" w14:textId="77777777" w:rsidR="00443628" w:rsidRPr="00443628" w:rsidRDefault="00443628" w:rsidP="00443628">
      <w:pPr>
        <w:numPr>
          <w:ilvl w:val="0"/>
          <w:numId w:val="8"/>
        </w:numPr>
      </w:pPr>
      <w:r w:rsidRPr="00443628">
        <w:rPr>
          <w:b/>
          <w:bCs/>
        </w:rPr>
        <w:t>From Reactive Compliance to Proactive Governance:</w:t>
      </w:r>
      <w:r w:rsidRPr="00443628">
        <w:t xml:space="preserve"> Shifting focus from simply logging events after they occur to managing risks dynamically to prevent adverse events.</w:t>
      </w:r>
    </w:p>
    <w:p w14:paraId="784EBB61" w14:textId="294559D3" w:rsidR="00443628" w:rsidRPr="00443628" w:rsidRDefault="00443628" w:rsidP="00443628">
      <w:pPr>
        <w:numPr>
          <w:ilvl w:val="0"/>
          <w:numId w:val="8"/>
        </w:numPr>
      </w:pPr>
      <w:r w:rsidRPr="00443628">
        <w:rPr>
          <w:b/>
          <w:bCs/>
        </w:rPr>
        <w:t>From Manual Effort to Operational Efficiency:</w:t>
      </w:r>
      <w:r w:rsidRPr="00443628">
        <w:t xml:space="preserve"> Using automation and smart workflows to reali</w:t>
      </w:r>
      <w:r w:rsidR="00A5336C">
        <w:t>s</w:t>
      </w:r>
      <w:r w:rsidRPr="00443628">
        <w:t>e time savings and reduce the administrative burden on frontline staff.</w:t>
      </w:r>
    </w:p>
    <w:p w14:paraId="7F777DFB" w14:textId="11373AE0" w:rsidR="00443628" w:rsidRPr="00443628" w:rsidRDefault="00443628" w:rsidP="00443628">
      <w:pPr>
        <w:numPr>
          <w:ilvl w:val="0"/>
          <w:numId w:val="8"/>
        </w:numPr>
      </w:pPr>
      <w:r w:rsidRPr="00443628">
        <w:rPr>
          <w:b/>
          <w:bCs/>
        </w:rPr>
        <w:t>From Ambiguity to Clear Accountability:</w:t>
      </w:r>
      <w:r w:rsidRPr="00443628">
        <w:t xml:space="preserve"> Utili</w:t>
      </w:r>
      <w:r w:rsidR="00A5336C">
        <w:t>s</w:t>
      </w:r>
      <w:r w:rsidRPr="00443628">
        <w:t>ing the platform to define exactly "who is responsible" and "who is accountable," ensuring nothing falls through the cracks.</w:t>
      </w:r>
    </w:p>
    <w:p w14:paraId="26290F3B" w14:textId="77777777" w:rsidR="00443628" w:rsidRPr="00443628" w:rsidRDefault="00443628" w:rsidP="00443628">
      <w:pPr>
        <w:numPr>
          <w:ilvl w:val="0"/>
          <w:numId w:val="8"/>
        </w:numPr>
      </w:pPr>
      <w:r w:rsidRPr="00443628">
        <w:rPr>
          <w:b/>
          <w:bCs/>
        </w:rPr>
        <w:t>From ‘Gut Feel’ to Evidence-Based Decisions:</w:t>
      </w:r>
      <w:r w:rsidRPr="00443628">
        <w:t xml:space="preserve"> Providing leadership with real-time dashboards and reporting to support informed, data-driven strategic choices.</w:t>
      </w:r>
    </w:p>
    <w:p w14:paraId="103A0674" w14:textId="77777777" w:rsidR="00443628" w:rsidRPr="00443628" w:rsidRDefault="00443628" w:rsidP="00443628">
      <w:pPr>
        <w:numPr>
          <w:ilvl w:val="0"/>
          <w:numId w:val="8"/>
        </w:numPr>
      </w:pPr>
      <w:r w:rsidRPr="00443628">
        <w:rPr>
          <w:b/>
          <w:bCs/>
        </w:rPr>
        <w:t>From Silos to a Collaborative ‘Team’ Environment:</w:t>
      </w:r>
      <w:r w:rsidRPr="00443628">
        <w:t xml:space="preserve"> Building a shared workspace that fosters communication and collective responsibility for quality and safety.</w:t>
      </w:r>
    </w:p>
    <w:p w14:paraId="1D165693" w14:textId="6C703644" w:rsidR="00443628" w:rsidRPr="00443628" w:rsidRDefault="00443628" w:rsidP="00443628">
      <w:pPr>
        <w:numPr>
          <w:ilvl w:val="0"/>
          <w:numId w:val="8"/>
        </w:numPr>
      </w:pPr>
      <w:r w:rsidRPr="00443628">
        <w:rPr>
          <w:b/>
          <w:bCs/>
        </w:rPr>
        <w:t>From Person-Dependent to System-Driven Resilience:</w:t>
      </w:r>
      <w:r w:rsidRPr="00443628">
        <w:t xml:space="preserve"> Retaining corporate knowledge within the platform. By linking tasks and instructions to </w:t>
      </w:r>
      <w:r w:rsidRPr="00443628">
        <w:rPr>
          <w:b/>
          <w:bCs/>
        </w:rPr>
        <w:t>position titles</w:t>
      </w:r>
      <w:r w:rsidRPr="00443628">
        <w:t>, the organi</w:t>
      </w:r>
      <w:r w:rsidR="00A5336C">
        <w:t>s</w:t>
      </w:r>
      <w:r w:rsidRPr="00443628">
        <w:t>ation ensures that "how we do things" survives staff transitions and turnover.</w:t>
      </w:r>
    </w:p>
    <w:p w14:paraId="7D041559" w14:textId="77777777" w:rsidR="00443628" w:rsidRPr="00443628" w:rsidRDefault="00443628" w:rsidP="00443628">
      <w:pPr>
        <w:numPr>
          <w:ilvl w:val="0"/>
          <w:numId w:val="8"/>
        </w:numPr>
      </w:pPr>
      <w:r w:rsidRPr="00443628">
        <w:rPr>
          <w:b/>
          <w:bCs/>
        </w:rPr>
        <w:t>Empowered Onboarding &amp; Scalable Delegation:</w:t>
      </w:r>
      <w:r w:rsidRPr="00443628">
        <w:t xml:space="preserve"> Supporting managers to "codify" their workflows by embedding instructions directly into scheduled tasks. This allows for faster onboarding of new staff and frees up managers to focus on high-level strategic improvements.</w:t>
      </w:r>
    </w:p>
    <w:p w14:paraId="20B3F045" w14:textId="77777777" w:rsidR="00443628" w:rsidRPr="00443628" w:rsidRDefault="00443628" w:rsidP="00443628">
      <w:pPr>
        <w:numPr>
          <w:ilvl w:val="0"/>
          <w:numId w:val="8"/>
        </w:numPr>
      </w:pPr>
      <w:r w:rsidRPr="00443628">
        <w:rPr>
          <w:b/>
          <w:bCs/>
        </w:rPr>
        <w:t>From Top-Down Control to Empowered Leadership:</w:t>
      </w:r>
      <w:r w:rsidRPr="00443628">
        <w:t xml:space="preserve"> Supporting the next generation of leaders by safely delegating responsibilities and providing them with the tools to manage their own areas of the business.</w:t>
      </w:r>
    </w:p>
    <w:p w14:paraId="32154123" w14:textId="3AEB4AC2" w:rsidR="00443628" w:rsidRPr="00443628" w:rsidRDefault="00443628" w:rsidP="00443628"/>
    <w:p w14:paraId="7470ACC9" w14:textId="2755E73E" w:rsidR="00443628" w:rsidRPr="00443628" w:rsidRDefault="00443628" w:rsidP="00443628">
      <w:pPr>
        <w:rPr>
          <w:b/>
          <w:bCs/>
        </w:rPr>
      </w:pPr>
      <w:r w:rsidRPr="00443628">
        <w:rPr>
          <w:b/>
          <w:bCs/>
        </w:rPr>
        <w:lastRenderedPageBreak/>
        <w:t>3. Organi</w:t>
      </w:r>
      <w:r w:rsidR="00A5336C">
        <w:rPr>
          <w:b/>
          <w:bCs/>
        </w:rPr>
        <w:t>s</w:t>
      </w:r>
      <w:r w:rsidRPr="00443628">
        <w:rPr>
          <w:b/>
          <w:bCs/>
        </w:rPr>
        <w:t>ational Context &amp; Scope</w:t>
      </w:r>
    </w:p>
    <w:p w14:paraId="21A18964" w14:textId="24EB8B1E" w:rsidR="00443628" w:rsidRPr="00443628" w:rsidRDefault="00443628" w:rsidP="00443628">
      <w:pPr>
        <w:numPr>
          <w:ilvl w:val="0"/>
          <w:numId w:val="3"/>
        </w:numPr>
        <w:tabs>
          <w:tab w:val="num" w:pos="360"/>
        </w:tabs>
      </w:pPr>
      <w:r w:rsidRPr="00443628">
        <w:t xml:space="preserve">The Quality Management System (QMS) supported by </w:t>
      </w:r>
      <w:r w:rsidR="00A5336C">
        <w:t xml:space="preserve">the </w:t>
      </w:r>
      <w:r w:rsidRPr="00443628">
        <w:t>Logiqc</w:t>
      </w:r>
      <w:r w:rsidR="00A5336C">
        <w:t xml:space="preserve"> platform</w:t>
      </w:r>
      <w:r w:rsidRPr="00443628">
        <w:t xml:space="preserve"> governs the management and provision of services across the following areas:</w:t>
      </w:r>
    </w:p>
    <w:p w14:paraId="4D208A3C" w14:textId="77777777" w:rsidR="00443628" w:rsidRPr="00443628" w:rsidRDefault="00443628" w:rsidP="00443628">
      <w:pPr>
        <w:numPr>
          <w:ilvl w:val="0"/>
          <w:numId w:val="9"/>
        </w:numPr>
      </w:pPr>
      <w:r w:rsidRPr="00443628">
        <w:rPr>
          <w:b/>
          <w:bCs/>
        </w:rPr>
        <w:t>Operating Locations:</w:t>
      </w:r>
      <w:r w:rsidRPr="00443628">
        <w:t xml:space="preserve"> </w:t>
      </w:r>
      <w:r w:rsidRPr="00443628">
        <w:rPr>
          <w:i/>
          <w:iCs/>
        </w:rPr>
        <w:t>[e.g., Head Office, Regional Hubs, Clinical Sites]</w:t>
      </w:r>
    </w:p>
    <w:p w14:paraId="7463EF85" w14:textId="77777777" w:rsidR="00443628" w:rsidRPr="00443628" w:rsidRDefault="00443628" w:rsidP="00443628">
      <w:pPr>
        <w:numPr>
          <w:ilvl w:val="0"/>
          <w:numId w:val="9"/>
        </w:numPr>
      </w:pPr>
      <w:r w:rsidRPr="00443628">
        <w:rPr>
          <w:b/>
          <w:bCs/>
        </w:rPr>
        <w:t>Service Delivery:</w:t>
      </w:r>
      <w:r w:rsidRPr="00443628">
        <w:t xml:space="preserve"> </w:t>
      </w:r>
      <w:r w:rsidRPr="00443628">
        <w:rPr>
          <w:i/>
          <w:iCs/>
        </w:rPr>
        <w:t>[e.g., Primary Care, Community Support, Allied Health]</w:t>
      </w:r>
    </w:p>
    <w:p w14:paraId="38E8A559" w14:textId="77777777" w:rsidR="00443628" w:rsidRPr="00443628" w:rsidRDefault="00443628" w:rsidP="00443628">
      <w:pPr>
        <w:numPr>
          <w:ilvl w:val="0"/>
          <w:numId w:val="3"/>
        </w:numPr>
        <w:tabs>
          <w:tab w:val="num" w:pos="360"/>
        </w:tabs>
      </w:pPr>
      <w:r w:rsidRPr="00443628">
        <w:rPr>
          <w:b/>
          <w:bCs/>
        </w:rPr>
        <w:t>ISO 9001 Compliance (Optional)</w:t>
      </w:r>
    </w:p>
    <w:p w14:paraId="5F460848" w14:textId="560BD33F" w:rsidR="00443628" w:rsidRPr="00443628" w:rsidRDefault="00443628" w:rsidP="00443628">
      <w:pPr>
        <w:numPr>
          <w:ilvl w:val="0"/>
          <w:numId w:val="3"/>
        </w:numPr>
        <w:tabs>
          <w:tab w:val="num" w:pos="360"/>
        </w:tabs>
      </w:pPr>
      <w:r w:rsidRPr="00443628">
        <w:t>For the purposes of ISO 9001 accreditation, Clause 8.3 (Design and Development) is currently excluded from this scope as the organi</w:t>
      </w:r>
      <w:r w:rsidR="00A5336C">
        <w:t>s</w:t>
      </w:r>
      <w:r w:rsidRPr="00443628">
        <w:t>ation delivers established service models rather than developing new products.</w:t>
      </w:r>
    </w:p>
    <w:p w14:paraId="1CB888DA" w14:textId="77777777" w:rsidR="00443628" w:rsidRPr="00443628" w:rsidRDefault="00443628" w:rsidP="00443628">
      <w:pPr>
        <w:rPr>
          <w:b/>
          <w:bCs/>
        </w:rPr>
      </w:pPr>
      <w:r w:rsidRPr="00443628">
        <w:rPr>
          <w:b/>
          <w:bCs/>
        </w:rPr>
        <w:t>4. Operational Boundaries: In Scope vs. Out of Scope</w:t>
      </w:r>
    </w:p>
    <w:p w14:paraId="6E66CCBD" w14:textId="77777777" w:rsidR="00443628" w:rsidRDefault="00443628" w:rsidP="00443628">
      <w:pPr>
        <w:numPr>
          <w:ilvl w:val="0"/>
          <w:numId w:val="3"/>
        </w:numPr>
        <w:tabs>
          <w:tab w:val="num" w:pos="360"/>
        </w:tabs>
      </w:pPr>
      <w:r w:rsidRPr="00443628">
        <w:t>To maintain system integrity and focus, the following boundaries have been established for the Phase 1 rollout. These boundaries ensure the platform remains a high-value environment for governance.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5336C" w14:paraId="5B6C87D7" w14:textId="77777777" w:rsidTr="00A5336C">
        <w:tc>
          <w:tcPr>
            <w:tcW w:w="2254" w:type="dxa"/>
            <w:shd w:val="clear" w:color="auto" w:fill="D9D9D9" w:themeFill="background1" w:themeFillShade="D9"/>
          </w:tcPr>
          <w:p w14:paraId="5C216007" w14:textId="239137C8" w:rsidR="00A5336C" w:rsidRDefault="00A5336C" w:rsidP="00A5336C">
            <w:r w:rsidRPr="00443628">
              <w:rPr>
                <w:b/>
                <w:bCs/>
              </w:rPr>
              <w:t>Function / Module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076DE3B8" w14:textId="1515B1A0" w:rsidR="00A5336C" w:rsidRDefault="00A5336C" w:rsidP="00A5336C">
            <w:r w:rsidRPr="00443628">
              <w:rPr>
                <w:b/>
                <w:bCs/>
              </w:rPr>
              <w:t>In Scope (Managed in Logiqc)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1DC5CCAF" w14:textId="7C4C02EA" w:rsidR="00A5336C" w:rsidRDefault="00A5336C" w:rsidP="00A5336C">
            <w:r w:rsidRPr="00443628">
              <w:rPr>
                <w:b/>
                <w:bCs/>
              </w:rPr>
              <w:t>Out of Scope (Managed Externally)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484A09F3" w14:textId="0B18C944" w:rsidR="00A5336C" w:rsidRDefault="00A5336C" w:rsidP="00A5336C">
            <w:r w:rsidRPr="00443628">
              <w:rPr>
                <w:b/>
                <w:bCs/>
              </w:rPr>
              <w:t>Key Governance Assumptions</w:t>
            </w:r>
          </w:p>
        </w:tc>
      </w:tr>
      <w:tr w:rsidR="00A5336C" w14:paraId="37227C5F" w14:textId="77777777" w:rsidTr="00A5336C">
        <w:tc>
          <w:tcPr>
            <w:tcW w:w="2254" w:type="dxa"/>
          </w:tcPr>
          <w:p w14:paraId="6DA437C4" w14:textId="50EDEBBA" w:rsidR="00A5336C" w:rsidRDefault="00A5336C" w:rsidP="00A5336C">
            <w:r w:rsidRPr="00443628">
              <w:rPr>
                <w:b/>
                <w:bCs/>
              </w:rPr>
              <w:t>Accreditation</w:t>
            </w:r>
          </w:p>
        </w:tc>
        <w:tc>
          <w:tcPr>
            <w:tcW w:w="2254" w:type="dxa"/>
          </w:tcPr>
          <w:p w14:paraId="4FFC5349" w14:textId="527916FC" w:rsidR="00A5336C" w:rsidRDefault="00A5336C" w:rsidP="00A5336C">
            <w:r w:rsidRPr="00443628">
              <w:t>Primary Standards (e.g., NDIS, Aged Care).</w:t>
            </w:r>
          </w:p>
        </w:tc>
        <w:tc>
          <w:tcPr>
            <w:tcW w:w="2254" w:type="dxa"/>
          </w:tcPr>
          <w:p w14:paraId="1E1405BE" w14:textId="0A73A847" w:rsidR="00A5336C" w:rsidRDefault="00A5336C" w:rsidP="00A5336C">
            <w:r w:rsidRPr="00443628">
              <w:t>Minor office compliance tasks.</w:t>
            </w:r>
          </w:p>
        </w:tc>
        <w:tc>
          <w:tcPr>
            <w:tcW w:w="2254" w:type="dxa"/>
          </w:tcPr>
          <w:p w14:paraId="012D04EC" w14:textId="120B6065" w:rsidR="00A5336C" w:rsidRDefault="00A5336C" w:rsidP="00A5336C">
            <w:r w:rsidRPr="00443628">
              <w:t>Focus is on high-level audit readiness.</w:t>
            </w:r>
          </w:p>
        </w:tc>
      </w:tr>
      <w:tr w:rsidR="00A5336C" w14:paraId="1C520810" w14:textId="77777777" w:rsidTr="00A5336C">
        <w:tc>
          <w:tcPr>
            <w:tcW w:w="2254" w:type="dxa"/>
          </w:tcPr>
          <w:p w14:paraId="410A098D" w14:textId="597DC9CC" w:rsidR="00A5336C" w:rsidRDefault="00A5336C" w:rsidP="00A5336C">
            <w:r w:rsidRPr="00443628">
              <w:rPr>
                <w:b/>
                <w:bCs/>
              </w:rPr>
              <w:t>Assets &amp; Equipment</w:t>
            </w:r>
          </w:p>
        </w:tc>
        <w:tc>
          <w:tcPr>
            <w:tcW w:w="2254" w:type="dxa"/>
          </w:tcPr>
          <w:p w14:paraId="391D3EA4" w14:textId="49B37F69" w:rsidR="00A5336C" w:rsidRDefault="00A5336C" w:rsidP="00A5336C">
            <w:r w:rsidRPr="00443628">
              <w:t>Clinical gear, IT hardware, Vehicles.</w:t>
            </w:r>
          </w:p>
        </w:tc>
        <w:tc>
          <w:tcPr>
            <w:tcW w:w="2254" w:type="dxa"/>
          </w:tcPr>
          <w:p w14:paraId="31F8D9F1" w14:textId="062BB2FE" w:rsidR="00A5336C" w:rsidRDefault="00A5336C" w:rsidP="00A5336C">
            <w:r w:rsidRPr="00443628">
              <w:t>Real Estate, low-value consumables.</w:t>
            </w:r>
          </w:p>
        </w:tc>
        <w:tc>
          <w:tcPr>
            <w:tcW w:w="2254" w:type="dxa"/>
          </w:tcPr>
          <w:p w14:paraId="32CDCD84" w14:textId="557E7790" w:rsidR="00A5336C" w:rsidRDefault="00A5336C" w:rsidP="00A5336C">
            <w:r w:rsidRPr="00443628">
              <w:t>Only assets requiring maintenance/risk.</w:t>
            </w:r>
          </w:p>
        </w:tc>
      </w:tr>
      <w:tr w:rsidR="00A5336C" w14:paraId="6E2E4011" w14:textId="77777777" w:rsidTr="00A5336C">
        <w:tc>
          <w:tcPr>
            <w:tcW w:w="2254" w:type="dxa"/>
          </w:tcPr>
          <w:p w14:paraId="120C0FC1" w14:textId="6FBDBF7A" w:rsidR="00A5336C" w:rsidRDefault="00A5336C" w:rsidP="00A5336C">
            <w:r w:rsidRPr="00443628">
              <w:rPr>
                <w:b/>
                <w:bCs/>
              </w:rPr>
              <w:t>Document Control</w:t>
            </w:r>
          </w:p>
        </w:tc>
        <w:tc>
          <w:tcPr>
            <w:tcW w:w="2254" w:type="dxa"/>
          </w:tcPr>
          <w:p w14:paraId="73C50C98" w14:textId="5D67A84D" w:rsidR="00A5336C" w:rsidRDefault="00A5336C" w:rsidP="00A5336C">
            <w:r w:rsidRPr="00443628">
              <w:t>Policies, Procedures, Clinical Forms.</w:t>
            </w:r>
          </w:p>
        </w:tc>
        <w:tc>
          <w:tcPr>
            <w:tcW w:w="2254" w:type="dxa"/>
          </w:tcPr>
          <w:p w14:paraId="698106DF" w14:textId="6CB06AE9" w:rsidR="00A5336C" w:rsidRDefault="00A5336C" w:rsidP="00A5336C">
            <w:r w:rsidRPr="00443628">
              <w:t>Finance records, Board Minutes.</w:t>
            </w:r>
          </w:p>
        </w:tc>
        <w:tc>
          <w:tcPr>
            <w:tcW w:w="2254" w:type="dxa"/>
          </w:tcPr>
          <w:p w14:paraId="15F18955" w14:textId="47025DC9" w:rsidR="00A5336C" w:rsidRDefault="00A5336C" w:rsidP="00A5336C">
            <w:r w:rsidRPr="00443628">
              <w:t>Board Portal manages sensitive papers.</w:t>
            </w:r>
          </w:p>
        </w:tc>
      </w:tr>
      <w:tr w:rsidR="00A5336C" w14:paraId="0EDE47F8" w14:textId="77777777" w:rsidTr="00A5336C">
        <w:tc>
          <w:tcPr>
            <w:tcW w:w="2254" w:type="dxa"/>
          </w:tcPr>
          <w:p w14:paraId="7F5CC33C" w14:textId="40D4CCA6" w:rsidR="00A5336C" w:rsidRDefault="00A5336C" w:rsidP="00A5336C">
            <w:r w:rsidRPr="00443628">
              <w:rPr>
                <w:b/>
                <w:bCs/>
              </w:rPr>
              <w:t>Contracts</w:t>
            </w:r>
          </w:p>
        </w:tc>
        <w:tc>
          <w:tcPr>
            <w:tcW w:w="2254" w:type="dxa"/>
          </w:tcPr>
          <w:p w14:paraId="24BAC6C4" w14:textId="3EBBD3F9" w:rsidR="00A5336C" w:rsidRDefault="00A5336C" w:rsidP="00A5336C">
            <w:r w:rsidRPr="00443628">
              <w:t>Funding agreements, MOUs, Insurances.</w:t>
            </w:r>
          </w:p>
        </w:tc>
        <w:tc>
          <w:tcPr>
            <w:tcW w:w="2254" w:type="dxa"/>
          </w:tcPr>
          <w:p w14:paraId="2C680B52" w14:textId="46BFBEDD" w:rsidR="00A5336C" w:rsidRDefault="00A5336C" w:rsidP="00A5336C">
            <w:r w:rsidRPr="00443628">
              <w:t>Individual Employment Contracts.</w:t>
            </w:r>
          </w:p>
        </w:tc>
        <w:tc>
          <w:tcPr>
            <w:tcW w:w="2254" w:type="dxa"/>
          </w:tcPr>
          <w:p w14:paraId="2E871285" w14:textId="450A0218" w:rsidR="00A5336C" w:rsidRDefault="00A5336C" w:rsidP="00A5336C">
            <w:r w:rsidRPr="00443628">
              <w:t>HR Platform remains the source for files.</w:t>
            </w:r>
          </w:p>
        </w:tc>
      </w:tr>
      <w:tr w:rsidR="00A5336C" w14:paraId="701914E8" w14:textId="77777777" w:rsidTr="00A5336C">
        <w:tc>
          <w:tcPr>
            <w:tcW w:w="2254" w:type="dxa"/>
          </w:tcPr>
          <w:p w14:paraId="007BABCC" w14:textId="2BFF3C72" w:rsidR="00A5336C" w:rsidRDefault="00A5336C" w:rsidP="00A5336C">
            <w:r w:rsidRPr="00443628">
              <w:rPr>
                <w:b/>
                <w:bCs/>
              </w:rPr>
              <w:t>Risk Management</w:t>
            </w:r>
          </w:p>
        </w:tc>
        <w:tc>
          <w:tcPr>
            <w:tcW w:w="2254" w:type="dxa"/>
          </w:tcPr>
          <w:p w14:paraId="237A5527" w14:textId="79BEA033" w:rsidR="00A5336C" w:rsidRDefault="00A5336C" w:rsidP="00A5336C">
            <w:r w:rsidRPr="00443628">
              <w:t>Clinical, Strategic, and Safety Risks.</w:t>
            </w:r>
          </w:p>
        </w:tc>
        <w:tc>
          <w:tcPr>
            <w:tcW w:w="2254" w:type="dxa"/>
          </w:tcPr>
          <w:p w14:paraId="27217ACF" w14:textId="2114CCF9" w:rsidR="00A5336C" w:rsidRDefault="00A5336C" w:rsidP="00A5336C">
            <w:proofErr w:type="gramStart"/>
            <w:r w:rsidRPr="00443628">
              <w:t>Pure</w:t>
            </w:r>
            <w:proofErr w:type="gramEnd"/>
            <w:r w:rsidRPr="00443628">
              <w:t xml:space="preserve"> Financial/Taxation risks.</w:t>
            </w:r>
          </w:p>
        </w:tc>
        <w:tc>
          <w:tcPr>
            <w:tcW w:w="2254" w:type="dxa"/>
          </w:tcPr>
          <w:p w14:paraId="4A711AAC" w14:textId="36083D75" w:rsidR="00A5336C" w:rsidRDefault="00A5336C" w:rsidP="00A5336C">
            <w:r w:rsidRPr="00443628">
              <w:t>Financial risk managed by external audit.</w:t>
            </w:r>
          </w:p>
        </w:tc>
      </w:tr>
      <w:tr w:rsidR="00A5336C" w14:paraId="51820CB2" w14:textId="77777777" w:rsidTr="00A5336C">
        <w:tc>
          <w:tcPr>
            <w:tcW w:w="2254" w:type="dxa"/>
          </w:tcPr>
          <w:p w14:paraId="06DD5F10" w14:textId="752A728A" w:rsidR="00A5336C" w:rsidRDefault="00A5336C" w:rsidP="00A5336C">
            <w:r w:rsidRPr="00443628">
              <w:rPr>
                <w:b/>
                <w:bCs/>
              </w:rPr>
              <w:t>Suppliers</w:t>
            </w:r>
          </w:p>
        </w:tc>
        <w:tc>
          <w:tcPr>
            <w:tcW w:w="2254" w:type="dxa"/>
          </w:tcPr>
          <w:p w14:paraId="7594AF78" w14:textId="78790B72" w:rsidR="00A5336C" w:rsidRDefault="00A5336C" w:rsidP="00A5336C">
            <w:r w:rsidRPr="00443628">
              <w:t>Approved clinical and IT vendors.</w:t>
            </w:r>
          </w:p>
        </w:tc>
        <w:tc>
          <w:tcPr>
            <w:tcW w:w="2254" w:type="dxa"/>
          </w:tcPr>
          <w:p w14:paraId="641C7372" w14:textId="56B9033B" w:rsidR="00A5336C" w:rsidRDefault="00A5336C" w:rsidP="00A5336C">
            <w:r w:rsidRPr="00443628">
              <w:t>General office/retail sundries.</w:t>
            </w:r>
          </w:p>
        </w:tc>
        <w:tc>
          <w:tcPr>
            <w:tcW w:w="2254" w:type="dxa"/>
          </w:tcPr>
          <w:p w14:paraId="3285C923" w14:textId="12BDE127" w:rsidR="00A5336C" w:rsidRDefault="00A5336C" w:rsidP="00A5336C">
            <w:r w:rsidRPr="00443628">
              <w:t>Focus is on the "Critical Supplier" list.</w:t>
            </w:r>
          </w:p>
        </w:tc>
      </w:tr>
      <w:tr w:rsidR="00A5336C" w14:paraId="48EAAC3F" w14:textId="77777777" w:rsidTr="00A5336C">
        <w:tc>
          <w:tcPr>
            <w:tcW w:w="2254" w:type="dxa"/>
          </w:tcPr>
          <w:p w14:paraId="6328CB84" w14:textId="19734C2B" w:rsidR="00A5336C" w:rsidRDefault="00A5336C" w:rsidP="00A5336C">
            <w:r w:rsidRPr="00443628">
              <w:rPr>
                <w:b/>
                <w:bCs/>
              </w:rPr>
              <w:t>Audits</w:t>
            </w:r>
          </w:p>
        </w:tc>
        <w:tc>
          <w:tcPr>
            <w:tcW w:w="2254" w:type="dxa"/>
          </w:tcPr>
          <w:p w14:paraId="2F146870" w14:textId="773DCD88" w:rsidR="00A5336C" w:rsidRDefault="00A5336C" w:rsidP="00A5336C">
            <w:r w:rsidRPr="00443628">
              <w:t>Internal clinical &amp; safety audits.</w:t>
            </w:r>
          </w:p>
        </w:tc>
        <w:tc>
          <w:tcPr>
            <w:tcW w:w="2254" w:type="dxa"/>
          </w:tcPr>
          <w:p w14:paraId="3CF7503A" w14:textId="1902D84A" w:rsidR="00A5336C" w:rsidRDefault="00A5336C" w:rsidP="00A5336C">
            <w:r w:rsidRPr="00443628">
              <w:t>Financial or Payroll audits.</w:t>
            </w:r>
          </w:p>
        </w:tc>
        <w:tc>
          <w:tcPr>
            <w:tcW w:w="2254" w:type="dxa"/>
          </w:tcPr>
          <w:p w14:paraId="76CD9C1B" w14:textId="43FABC87" w:rsidR="00A5336C" w:rsidRDefault="00A5336C" w:rsidP="00A5336C">
            <w:r w:rsidRPr="00443628">
              <w:t>Standardi</w:t>
            </w:r>
            <w:r>
              <w:t>s</w:t>
            </w:r>
            <w:r w:rsidRPr="00443628">
              <w:t>es the audit trail for accreditors.</w:t>
            </w:r>
          </w:p>
        </w:tc>
      </w:tr>
      <w:tr w:rsidR="00A5336C" w14:paraId="6473DB67" w14:textId="77777777" w:rsidTr="00A5336C">
        <w:tc>
          <w:tcPr>
            <w:tcW w:w="2254" w:type="dxa"/>
          </w:tcPr>
          <w:p w14:paraId="15EBFDFE" w14:textId="60548ABF" w:rsidR="00A5336C" w:rsidRDefault="00A5336C" w:rsidP="00A5336C">
            <w:r w:rsidRPr="00443628">
              <w:rPr>
                <w:b/>
                <w:bCs/>
              </w:rPr>
              <w:t>Incidents &amp; Feedback</w:t>
            </w:r>
          </w:p>
        </w:tc>
        <w:tc>
          <w:tcPr>
            <w:tcW w:w="2254" w:type="dxa"/>
          </w:tcPr>
          <w:p w14:paraId="197BBE83" w14:textId="265BAA5D" w:rsidR="00A5336C" w:rsidRDefault="00A5336C" w:rsidP="00A5336C">
            <w:r w:rsidRPr="00443628">
              <w:t>Clinical incidents, client complaints.</w:t>
            </w:r>
          </w:p>
        </w:tc>
        <w:tc>
          <w:tcPr>
            <w:tcW w:w="2254" w:type="dxa"/>
          </w:tcPr>
          <w:p w14:paraId="3B4854C6" w14:textId="25A3779F" w:rsidR="00A5336C" w:rsidRDefault="00A5336C" w:rsidP="00A5336C">
            <w:r w:rsidRPr="00443628">
              <w:t>Staff grievances, minor IT tickets.</w:t>
            </w:r>
          </w:p>
        </w:tc>
        <w:tc>
          <w:tcPr>
            <w:tcW w:w="2254" w:type="dxa"/>
          </w:tcPr>
          <w:p w14:paraId="60E8F7B6" w14:textId="0B30CD55" w:rsidR="00A5336C" w:rsidRDefault="00A5336C" w:rsidP="00A5336C">
            <w:r w:rsidRPr="00443628">
              <w:t>IT Helpdesk manages technical support.</w:t>
            </w:r>
          </w:p>
        </w:tc>
      </w:tr>
    </w:tbl>
    <w:p w14:paraId="43BDA83D" w14:textId="77777777" w:rsidR="00A5336C" w:rsidRPr="00443628" w:rsidRDefault="00A5336C" w:rsidP="00A5336C"/>
    <w:p w14:paraId="5895E2C1" w14:textId="12EA1BF8" w:rsidR="009E4AF8" w:rsidRDefault="009E4AF8" w:rsidP="00443628"/>
    <w:p w14:paraId="7C2A11C0" w14:textId="77777777" w:rsidR="00A5336C" w:rsidRDefault="00A5336C">
      <w:pPr>
        <w:rPr>
          <w:b/>
          <w:bCs/>
        </w:rPr>
      </w:pPr>
      <w:r>
        <w:rPr>
          <w:b/>
          <w:bCs/>
        </w:rPr>
        <w:br w:type="page"/>
      </w:r>
    </w:p>
    <w:p w14:paraId="7B70E465" w14:textId="1EB40B81" w:rsidR="00A5336C" w:rsidRPr="00A5336C" w:rsidRDefault="00A5336C" w:rsidP="00A5336C">
      <w:pPr>
        <w:rPr>
          <w:b/>
          <w:bCs/>
        </w:rPr>
      </w:pPr>
      <w:r w:rsidRPr="00A5336C">
        <w:rPr>
          <w:b/>
          <w:bCs/>
        </w:rPr>
        <w:lastRenderedPageBreak/>
        <w:t>5. Governance Alignment &amp; Sign-off</w:t>
      </w:r>
    </w:p>
    <w:p w14:paraId="34F6FD30" w14:textId="2CB09F22" w:rsidR="00A5336C" w:rsidRPr="00A5336C" w:rsidRDefault="00A5336C" w:rsidP="00A5336C">
      <w:r w:rsidRPr="00A5336C">
        <w:t xml:space="preserve">This charter has been reviewed by the </w:t>
      </w:r>
      <w:r w:rsidRPr="00A5336C">
        <w:rPr>
          <w:color w:val="EE0000"/>
        </w:rPr>
        <w:t xml:space="preserve">Senior Management Team </w:t>
      </w:r>
      <w:r w:rsidRPr="00A5336C">
        <w:t>to ensure the</w:t>
      </w:r>
      <w:r>
        <w:t xml:space="preserve"> Logiqc</w:t>
      </w:r>
      <w:r w:rsidRPr="00A5336C">
        <w:t xml:space="preserve"> platform’s configuration aligns with our broader organi</w:t>
      </w:r>
      <w:r>
        <w:t>s</w:t>
      </w:r>
      <w:r w:rsidRPr="00A5336C">
        <w:t>ational goals. Any significant changes to this scope will be negotiated between the Leadership Team and the Project Implementation Team.</w:t>
      </w:r>
    </w:p>
    <w:p w14:paraId="025BF614" w14:textId="77777777" w:rsidR="00A5336C" w:rsidRPr="00A5336C" w:rsidRDefault="00A5336C" w:rsidP="00A5336C">
      <w:r w:rsidRPr="00A5336C">
        <w:rPr>
          <w:b/>
          <w:bCs/>
        </w:rPr>
        <w:t>Endorsed by:</w:t>
      </w:r>
      <w:r w:rsidRPr="00A5336C">
        <w:t xml:space="preserve"> ___________________________ </w:t>
      </w:r>
      <w:r w:rsidRPr="00A5336C">
        <w:rPr>
          <w:b/>
          <w:bCs/>
        </w:rPr>
        <w:t>Date:</w:t>
      </w:r>
      <w:r w:rsidRPr="00A5336C">
        <w:t xml:space="preserve"> _______________</w:t>
      </w:r>
    </w:p>
    <w:p w14:paraId="3AB75CA3" w14:textId="77777777" w:rsidR="00A5336C" w:rsidRPr="00443628" w:rsidRDefault="00A5336C" w:rsidP="00443628"/>
    <w:sectPr w:rsidR="00A5336C" w:rsidRPr="0044362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76952" w14:textId="77777777" w:rsidR="005305FA" w:rsidRDefault="005305FA" w:rsidP="00443628">
      <w:pPr>
        <w:spacing w:after="0" w:line="240" w:lineRule="auto"/>
      </w:pPr>
      <w:r>
        <w:separator/>
      </w:r>
    </w:p>
  </w:endnote>
  <w:endnote w:type="continuationSeparator" w:id="0">
    <w:p w14:paraId="70867025" w14:textId="77777777" w:rsidR="005305FA" w:rsidRDefault="005305FA" w:rsidP="00443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Plus Jakarta Sans Light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Plus Jakarta Sans SemiBold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7062509"/>
  <w:p w14:paraId="5584A46C" w14:textId="4A651DA8" w:rsidR="00384EEC" w:rsidRPr="00FB25E7" w:rsidRDefault="00384EEC" w:rsidP="00C921B1">
    <w:pPr>
      <w:pStyle w:val="LQFooter"/>
      <w:tabs>
        <w:tab w:val="clear" w:pos="9638"/>
        <w:tab w:val="right" w:pos="14436"/>
      </w:tabs>
      <w:rPr>
        <w:rFonts w:ascii="Open Sans" w:hAnsi="Open Sans" w:cs="Open Sans"/>
      </w:rPr>
    </w:pPr>
    <w:sdt>
      <w:sdtPr>
        <w:id w:val="-252596003"/>
        <w:docPartObj>
          <w:docPartGallery w:val="Page Numbers (Top of Page)"/>
          <w:docPartUnique/>
        </w:docPartObj>
      </w:sdtPr>
      <w:sdtEndPr>
        <w:rPr>
          <w:rFonts w:ascii="Open Sans" w:hAnsi="Open Sans" w:cs="Open Sans"/>
        </w:rPr>
      </w:sdtEndPr>
      <w:sdtContent>
        <w:r w:rsidRPr="00FB25E7">
          <w:rPr>
            <w:rFonts w:ascii="Open Sans" w:hAnsi="Open Sans" w:cs="Open Sans"/>
          </w:rPr>
          <w:fldChar w:fldCharType="begin"/>
        </w:r>
        <w:r w:rsidRPr="00FB25E7">
          <w:rPr>
            <w:rFonts w:ascii="Open Sans" w:hAnsi="Open Sans" w:cs="Open Sans"/>
          </w:rPr>
          <w:instrText xml:space="preserve"> FILENAME   \* MERGEFORMAT </w:instrText>
        </w:r>
        <w:r w:rsidRPr="00FB25E7">
          <w:rPr>
            <w:rFonts w:ascii="Open Sans" w:hAnsi="Open Sans" w:cs="Open Sans"/>
          </w:rPr>
          <w:fldChar w:fldCharType="separate"/>
        </w:r>
        <w:r w:rsidR="00312BDD">
          <w:rPr>
            <w:rFonts w:ascii="Open Sans" w:hAnsi="Open Sans" w:cs="Open Sans"/>
            <w:noProof/>
          </w:rPr>
          <w:t>doc_587_Logiqc Platform Strategic Intent and Scope_v10</w:t>
        </w:r>
        <w:r w:rsidRPr="00FB25E7">
          <w:rPr>
            <w:rFonts w:ascii="Open Sans" w:hAnsi="Open Sans" w:cs="Open Sans"/>
            <w:noProof/>
          </w:rPr>
          <w:fldChar w:fldCharType="end"/>
        </w:r>
        <w:r w:rsidRPr="00FB25E7">
          <w:rPr>
            <w:rFonts w:ascii="Open Sans" w:hAnsi="Open Sans" w:cs="Open Sans"/>
          </w:rPr>
          <w:tab/>
        </w:r>
        <w:r>
          <w:rPr>
            <w:rFonts w:ascii="Open Sans" w:hAnsi="Open Sans" w:cs="Open Sans"/>
          </w:rPr>
          <w:tab/>
        </w:r>
        <w:r w:rsidRPr="00FB25E7">
          <w:rPr>
            <w:rFonts w:ascii="Open Sans" w:hAnsi="Open Sans" w:cs="Open Sans"/>
          </w:rPr>
          <w:t xml:space="preserve">Page </w:t>
        </w:r>
        <w:r w:rsidRPr="00FB25E7">
          <w:rPr>
            <w:rFonts w:ascii="Open Sans" w:hAnsi="Open Sans" w:cs="Open Sans"/>
          </w:rPr>
          <w:fldChar w:fldCharType="begin"/>
        </w:r>
        <w:r w:rsidRPr="00FB25E7">
          <w:rPr>
            <w:rFonts w:ascii="Open Sans" w:hAnsi="Open Sans" w:cs="Open Sans"/>
          </w:rPr>
          <w:instrText xml:space="preserve"> PAGE </w:instrText>
        </w:r>
        <w:r w:rsidRPr="00FB25E7">
          <w:rPr>
            <w:rFonts w:ascii="Open Sans" w:hAnsi="Open Sans" w:cs="Open Sans"/>
          </w:rPr>
          <w:fldChar w:fldCharType="separate"/>
        </w:r>
        <w:r w:rsidRPr="00FB25E7">
          <w:rPr>
            <w:rFonts w:ascii="Open Sans" w:hAnsi="Open Sans" w:cs="Open Sans"/>
          </w:rPr>
          <w:t>1</w:t>
        </w:r>
        <w:r w:rsidRPr="00FB25E7">
          <w:rPr>
            <w:rFonts w:ascii="Open Sans" w:hAnsi="Open Sans" w:cs="Open Sans"/>
          </w:rPr>
          <w:fldChar w:fldCharType="end"/>
        </w:r>
        <w:r w:rsidRPr="00FB25E7">
          <w:rPr>
            <w:rFonts w:ascii="Open Sans" w:hAnsi="Open Sans" w:cs="Open Sans"/>
          </w:rPr>
          <w:t xml:space="preserve"> of </w:t>
        </w:r>
        <w:r w:rsidRPr="00FB25E7">
          <w:rPr>
            <w:rFonts w:ascii="Open Sans" w:hAnsi="Open Sans" w:cs="Open Sans"/>
          </w:rPr>
          <w:fldChar w:fldCharType="begin"/>
        </w:r>
        <w:r w:rsidRPr="00FB25E7">
          <w:rPr>
            <w:rFonts w:ascii="Open Sans" w:hAnsi="Open Sans" w:cs="Open Sans"/>
          </w:rPr>
          <w:instrText xml:space="preserve"> NUMPAGES  </w:instrText>
        </w:r>
        <w:r w:rsidRPr="00FB25E7">
          <w:rPr>
            <w:rFonts w:ascii="Open Sans" w:hAnsi="Open Sans" w:cs="Open Sans"/>
          </w:rPr>
          <w:fldChar w:fldCharType="separate"/>
        </w:r>
        <w:r w:rsidRPr="00FB25E7">
          <w:rPr>
            <w:rFonts w:ascii="Open Sans" w:hAnsi="Open Sans" w:cs="Open Sans"/>
          </w:rPr>
          <w:t>4</w:t>
        </w:r>
        <w:r w:rsidRPr="00FB25E7">
          <w:rPr>
            <w:rFonts w:ascii="Open Sans" w:hAnsi="Open Sans" w:cs="Open Sans"/>
          </w:rPr>
          <w:fldChar w:fldCharType="end"/>
        </w:r>
      </w:sdtContent>
    </w:sdt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572D9" w14:textId="77777777" w:rsidR="005305FA" w:rsidRDefault="005305FA" w:rsidP="00443628">
      <w:pPr>
        <w:spacing w:after="0" w:line="240" w:lineRule="auto"/>
      </w:pPr>
      <w:r>
        <w:separator/>
      </w:r>
    </w:p>
  </w:footnote>
  <w:footnote w:type="continuationSeparator" w:id="0">
    <w:p w14:paraId="35A1FFF4" w14:textId="77777777" w:rsidR="005305FA" w:rsidRDefault="005305FA" w:rsidP="00443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9259" w14:textId="77777777" w:rsidR="00443628" w:rsidRDefault="00443628">
    <w:pPr>
      <w:pStyle w:val="Header"/>
    </w:pPr>
    <w:r>
      <w:rPr>
        <w:noProof/>
      </w:rPr>
      <w:drawing>
        <wp:inline distT="0" distB="0" distL="0" distR="0" wp14:anchorId="4B66318E" wp14:editId="2A87EA88">
          <wp:extent cx="961130" cy="468000"/>
          <wp:effectExtent l="0" t="0" r="0" b="8255"/>
          <wp:docPr id="197248082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480824" name="Picture 19724808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13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5BC314" w14:textId="77777777" w:rsidR="00443628" w:rsidRDefault="004436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7167"/>
    <w:multiLevelType w:val="hybridMultilevel"/>
    <w:tmpl w:val="5A5CD05A"/>
    <w:lvl w:ilvl="0" w:tplc="C0005770">
      <w:start w:val="1"/>
      <w:numFmt w:val="bullet"/>
      <w:pStyle w:val="LQ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A2D96"/>
    <w:multiLevelType w:val="multilevel"/>
    <w:tmpl w:val="395A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C2171"/>
    <w:multiLevelType w:val="multilevel"/>
    <w:tmpl w:val="2AA0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F1BD6"/>
    <w:multiLevelType w:val="multilevel"/>
    <w:tmpl w:val="411A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844701"/>
    <w:multiLevelType w:val="hybridMultilevel"/>
    <w:tmpl w:val="E4F4E9F6"/>
    <w:lvl w:ilvl="0" w:tplc="2E083BDA">
      <w:start w:val="1"/>
      <w:numFmt w:val="decimal"/>
      <w:pStyle w:val="LQNumber"/>
      <w:lvlText w:val="%1."/>
      <w:lvlJc w:val="left"/>
      <w:pPr>
        <w:ind w:left="360" w:hanging="360"/>
      </w:pPr>
      <w:rPr>
        <w:color w:val="FFC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5F31A7"/>
    <w:multiLevelType w:val="multilevel"/>
    <w:tmpl w:val="376A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057F9"/>
    <w:multiLevelType w:val="multilevel"/>
    <w:tmpl w:val="6C1E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282091">
    <w:abstractNumId w:val="0"/>
  </w:num>
  <w:num w:numId="2" w16cid:durableId="912423389">
    <w:abstractNumId w:val="4"/>
  </w:num>
  <w:num w:numId="3" w16cid:durableId="1193804937">
    <w:abstractNumId w:val="0"/>
  </w:num>
  <w:num w:numId="4" w16cid:durableId="908541626">
    <w:abstractNumId w:val="4"/>
  </w:num>
  <w:num w:numId="5" w16cid:durableId="92558052">
    <w:abstractNumId w:val="2"/>
  </w:num>
  <w:num w:numId="6" w16cid:durableId="983778582">
    <w:abstractNumId w:val="3"/>
  </w:num>
  <w:num w:numId="7" w16cid:durableId="633174996">
    <w:abstractNumId w:val="5"/>
  </w:num>
  <w:num w:numId="8" w16cid:durableId="194121260">
    <w:abstractNumId w:val="1"/>
  </w:num>
  <w:num w:numId="9" w16cid:durableId="1277173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D7"/>
    <w:rsid w:val="00312BDD"/>
    <w:rsid w:val="00384EEC"/>
    <w:rsid w:val="00435E08"/>
    <w:rsid w:val="00443628"/>
    <w:rsid w:val="0049552E"/>
    <w:rsid w:val="005305FA"/>
    <w:rsid w:val="00622BD7"/>
    <w:rsid w:val="0083290E"/>
    <w:rsid w:val="009E4AF8"/>
    <w:rsid w:val="00A31DC9"/>
    <w:rsid w:val="00A5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91CA9"/>
  <w15:chartTrackingRefBased/>
  <w15:docId w15:val="{6B189645-1A29-4F08-A029-5083A0AB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QBody">
    <w:name w:val="LQ Body"/>
    <w:basedOn w:val="Normal"/>
    <w:link w:val="LQBodyChar"/>
    <w:qFormat/>
    <w:rsid w:val="0083290E"/>
    <w:pPr>
      <w:widowControl w:val="0"/>
      <w:autoSpaceDE w:val="0"/>
      <w:autoSpaceDN w:val="0"/>
      <w:spacing w:before="120" w:after="120" w:line="276" w:lineRule="auto"/>
    </w:pPr>
    <w:rPr>
      <w:rFonts w:ascii="Plus Jakarta Sans" w:eastAsia="Times New Roman" w:hAnsi="Plus Jakarta Sans" w:cs="Times New Roman"/>
      <w:color w:val="262626" w:themeColor="text1" w:themeTint="D9"/>
      <w:kern w:val="0"/>
      <w:sz w:val="20"/>
      <w14:ligatures w14:val="none"/>
    </w:rPr>
  </w:style>
  <w:style w:type="character" w:customStyle="1" w:styleId="LQBodyChar">
    <w:name w:val="LQ Body Char"/>
    <w:basedOn w:val="DefaultParagraphFont"/>
    <w:link w:val="LQBody"/>
    <w:rsid w:val="0083290E"/>
    <w:rPr>
      <w:rFonts w:ascii="Plus Jakarta Sans" w:eastAsia="Times New Roman" w:hAnsi="Plus Jakarta Sans" w:cs="Times New Roman"/>
      <w:color w:val="262626" w:themeColor="text1" w:themeTint="D9"/>
      <w:kern w:val="0"/>
      <w:sz w:val="20"/>
      <w14:ligatures w14:val="none"/>
    </w:rPr>
  </w:style>
  <w:style w:type="paragraph" w:customStyle="1" w:styleId="LQBullet">
    <w:name w:val="LQ Bullet"/>
    <w:basedOn w:val="LQBody"/>
    <w:link w:val="LQBulletChar"/>
    <w:qFormat/>
    <w:rsid w:val="0083290E"/>
    <w:pPr>
      <w:numPr>
        <w:numId w:val="3"/>
      </w:numPr>
    </w:pPr>
  </w:style>
  <w:style w:type="character" w:customStyle="1" w:styleId="LQBulletChar">
    <w:name w:val="LQ Bullet Char"/>
    <w:basedOn w:val="LQBodyChar"/>
    <w:link w:val="LQBullet"/>
    <w:rsid w:val="0083290E"/>
    <w:rPr>
      <w:rFonts w:ascii="Plus Jakarta Sans" w:eastAsia="Times New Roman" w:hAnsi="Plus Jakarta Sans" w:cs="Times New Roman"/>
      <w:color w:val="262626" w:themeColor="text1" w:themeTint="D9"/>
      <w:kern w:val="0"/>
      <w:sz w:val="20"/>
      <w14:ligatures w14:val="none"/>
    </w:rPr>
  </w:style>
  <w:style w:type="paragraph" w:customStyle="1" w:styleId="LQFooter">
    <w:name w:val="LQ Footer"/>
    <w:basedOn w:val="Footer"/>
    <w:link w:val="LQFooterChar"/>
    <w:qFormat/>
    <w:rsid w:val="0083290E"/>
    <w:pPr>
      <w:tabs>
        <w:tab w:val="clear" w:pos="9026"/>
        <w:tab w:val="right" w:pos="9638"/>
      </w:tabs>
      <w:spacing w:before="40"/>
    </w:pPr>
    <w:rPr>
      <w:rFonts w:ascii="Plus Jakarta Sans Light" w:hAnsi="Plus Jakarta Sans Light"/>
      <w:color w:val="262626" w:themeColor="text1" w:themeTint="D9"/>
      <w:kern w:val="0"/>
      <w:sz w:val="16"/>
      <w14:ligatures w14:val="none"/>
    </w:rPr>
  </w:style>
  <w:style w:type="character" w:customStyle="1" w:styleId="LQFooterChar">
    <w:name w:val="LQ Footer Char"/>
    <w:basedOn w:val="DefaultParagraphFont"/>
    <w:link w:val="LQFooter"/>
    <w:rsid w:val="0083290E"/>
    <w:rPr>
      <w:rFonts w:ascii="Plus Jakarta Sans Light" w:hAnsi="Plus Jakarta Sans Light"/>
      <w:color w:val="262626" w:themeColor="text1" w:themeTint="D9"/>
      <w:kern w:val="0"/>
      <w:sz w:val="1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29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90E"/>
  </w:style>
  <w:style w:type="paragraph" w:customStyle="1" w:styleId="LQHeading1">
    <w:name w:val="LQ Heading 1"/>
    <w:basedOn w:val="Heading1"/>
    <w:next w:val="LQBody"/>
    <w:link w:val="LQHeading1Char"/>
    <w:qFormat/>
    <w:rsid w:val="0083290E"/>
    <w:pPr>
      <w:widowControl w:val="0"/>
      <w:autoSpaceDE w:val="0"/>
      <w:autoSpaceDN w:val="0"/>
      <w:spacing w:before="240" w:after="240" w:line="240" w:lineRule="auto"/>
    </w:pPr>
    <w:rPr>
      <w:rFonts w:ascii="Plus Jakarta Sans SemiBold" w:hAnsi="Plus Jakarta Sans SemiBold"/>
      <w:color w:val="262626" w:themeColor="text1" w:themeTint="D9"/>
      <w:kern w:val="0"/>
      <w:sz w:val="32"/>
      <w:szCs w:val="32"/>
      <w14:ligatures w14:val="none"/>
    </w:rPr>
  </w:style>
  <w:style w:type="character" w:customStyle="1" w:styleId="LQHeading1Char">
    <w:name w:val="LQ Heading 1 Char"/>
    <w:basedOn w:val="Heading1Char"/>
    <w:link w:val="LQHeading1"/>
    <w:rsid w:val="0083290E"/>
    <w:rPr>
      <w:rFonts w:ascii="Plus Jakarta Sans SemiBold" w:eastAsiaTheme="majorEastAsia" w:hAnsi="Plus Jakarta Sans SemiBold" w:cstheme="majorBidi"/>
      <w:color w:val="262626" w:themeColor="text1" w:themeTint="D9"/>
      <w:kern w:val="0"/>
      <w:sz w:val="32"/>
      <w:szCs w:val="3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32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LQHeading2">
    <w:name w:val="LQ Heading 2"/>
    <w:basedOn w:val="Heading2"/>
    <w:link w:val="LQHeading2Char"/>
    <w:qFormat/>
    <w:rsid w:val="0083290E"/>
    <w:pPr>
      <w:keepNext w:val="0"/>
      <w:keepLines w:val="0"/>
      <w:widowControl w:val="0"/>
      <w:autoSpaceDE w:val="0"/>
      <w:autoSpaceDN w:val="0"/>
      <w:spacing w:before="0" w:after="240" w:line="240" w:lineRule="auto"/>
    </w:pPr>
    <w:rPr>
      <w:rFonts w:ascii="Plus Jakarta Sans SemiBold" w:eastAsia="Times New Roman" w:hAnsi="Plus Jakarta Sans SemiBold" w:cs="Times New Roman"/>
      <w:color w:val="262626" w:themeColor="text1" w:themeTint="D9"/>
      <w:kern w:val="0"/>
      <w:szCs w:val="24"/>
      <w14:ligatures w14:val="none"/>
    </w:rPr>
  </w:style>
  <w:style w:type="character" w:customStyle="1" w:styleId="LQHeading2Char">
    <w:name w:val="LQ Heading 2 Char"/>
    <w:basedOn w:val="Heading2Char"/>
    <w:link w:val="LQHeading2"/>
    <w:rsid w:val="0083290E"/>
    <w:rPr>
      <w:rFonts w:ascii="Plus Jakarta Sans SemiBold" w:eastAsia="Times New Roman" w:hAnsi="Plus Jakarta Sans SemiBold" w:cs="Times New Roman"/>
      <w:color w:val="262626" w:themeColor="text1" w:themeTint="D9"/>
      <w:kern w:val="0"/>
      <w:sz w:val="32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LQNumber">
    <w:name w:val="LQ Number"/>
    <w:basedOn w:val="LQBody"/>
    <w:link w:val="LQNumberChar"/>
    <w:qFormat/>
    <w:rsid w:val="0083290E"/>
    <w:pPr>
      <w:numPr>
        <w:numId w:val="4"/>
      </w:numPr>
    </w:pPr>
  </w:style>
  <w:style w:type="character" w:customStyle="1" w:styleId="LQNumberChar">
    <w:name w:val="LQ Number Char"/>
    <w:basedOn w:val="LQBodyChar"/>
    <w:link w:val="LQNumber"/>
    <w:rsid w:val="0083290E"/>
    <w:rPr>
      <w:rFonts w:ascii="Plus Jakarta Sans" w:eastAsia="Times New Roman" w:hAnsi="Plus Jakarta Sans" w:cs="Times New Roman"/>
      <w:color w:val="262626" w:themeColor="text1" w:themeTint="D9"/>
      <w:kern w:val="0"/>
      <w:sz w:val="20"/>
      <w14:ligatures w14:val="none"/>
    </w:rPr>
  </w:style>
  <w:style w:type="paragraph" w:customStyle="1" w:styleId="LQTablebody">
    <w:name w:val="LQ Table body"/>
    <w:basedOn w:val="LQBody"/>
    <w:qFormat/>
    <w:rsid w:val="0083290E"/>
    <w:rPr>
      <w:bCs/>
      <w:sz w:val="18"/>
      <w:szCs w:val="16"/>
    </w:rPr>
  </w:style>
  <w:style w:type="paragraph" w:customStyle="1" w:styleId="LQTitle">
    <w:name w:val="LQ Title"/>
    <w:basedOn w:val="Normal"/>
    <w:link w:val="LQTitleChar"/>
    <w:qFormat/>
    <w:rsid w:val="0083290E"/>
    <w:pPr>
      <w:widowControl w:val="0"/>
      <w:autoSpaceDE w:val="0"/>
      <w:autoSpaceDN w:val="0"/>
      <w:spacing w:after="0" w:line="240" w:lineRule="auto"/>
    </w:pPr>
    <w:rPr>
      <w:rFonts w:ascii="Plus Jakarta Sans" w:eastAsia="Times New Roman" w:hAnsi="Plus Jakarta Sans" w:cs="Times New Roman"/>
      <w:color w:val="FFC000"/>
      <w:kern w:val="0"/>
      <w:sz w:val="62"/>
      <w:szCs w:val="62"/>
      <w14:ligatures w14:val="none"/>
    </w:rPr>
  </w:style>
  <w:style w:type="character" w:customStyle="1" w:styleId="LQTitleChar">
    <w:name w:val="LQ Title Char"/>
    <w:basedOn w:val="DefaultParagraphFont"/>
    <w:link w:val="LQTitle"/>
    <w:rsid w:val="0083290E"/>
    <w:rPr>
      <w:rFonts w:ascii="Plus Jakarta Sans" w:eastAsia="Times New Roman" w:hAnsi="Plus Jakarta Sans" w:cs="Times New Roman"/>
      <w:color w:val="FFC000"/>
      <w:kern w:val="0"/>
      <w:sz w:val="62"/>
      <w:szCs w:val="62"/>
      <w14:ligatures w14:val="none"/>
    </w:rPr>
  </w:style>
  <w:style w:type="paragraph" w:customStyle="1" w:styleId="LQSemibold">
    <w:name w:val="LQ Semibold"/>
    <w:basedOn w:val="Title"/>
    <w:link w:val="LQSemiboldChar"/>
    <w:qFormat/>
    <w:rsid w:val="0083290E"/>
    <w:rPr>
      <w:rFonts w:ascii="Plus Jakarta Sans SemiBold" w:hAnsi="Plus Jakarta Sans SemiBold" w:cs="Open Sans SemiBold"/>
      <w:sz w:val="20"/>
    </w:rPr>
  </w:style>
  <w:style w:type="character" w:customStyle="1" w:styleId="LQSemiboldChar">
    <w:name w:val="LQ Semibold Char"/>
    <w:basedOn w:val="TitleChar"/>
    <w:link w:val="LQSemibold"/>
    <w:rsid w:val="0083290E"/>
    <w:rPr>
      <w:rFonts w:ascii="Plus Jakarta Sans SemiBold" w:eastAsiaTheme="majorEastAsia" w:hAnsi="Plus Jakarta Sans SemiBold" w:cs="Open Sans SemiBold"/>
      <w:spacing w:val="-10"/>
      <w:kern w:val="28"/>
      <w:sz w:val="20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32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BD7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B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3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628"/>
  </w:style>
  <w:style w:type="table" w:styleId="TableGrid">
    <w:name w:val="Table Grid"/>
    <w:basedOn w:val="TableNormal"/>
    <w:uiPriority w:val="39"/>
    <w:rsid w:val="00A5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621</Words>
  <Characters>4270</Characters>
  <Application>Microsoft Office Word</Application>
  <DocSecurity>0</DocSecurity>
  <Lines>355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Unna Liddy</dc:creator>
  <cp:keywords/>
  <dc:description/>
  <cp:lastModifiedBy>Unna Liddy</cp:lastModifiedBy>
  <cp:revision>2</cp:revision>
  <dcterms:created xsi:type="dcterms:W3CDTF">2026-02-11T06:22:00Z</dcterms:created>
  <dcterms:modified xsi:type="dcterms:W3CDTF">2026-02-11T06:57:00Z</dcterms:modified>
</cp:coreProperties>
</file>